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>АДМИНИСТРАЦИЯ МУНИЦИПАЛЬНОГО ОБРАЗОВАНИЯ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>«МАРФИНСКИЙ СЕЛЬСОВЕТ»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>ВОЛОДАРСКОГО РАЙОНА АСТРАХАНСКОЙ ОБЛАСТИ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>ПОСТАНОВЛЕНИЕ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</w:p>
    <w:p w:rsidR="00106D9D" w:rsidRPr="00106D9D" w:rsidRDefault="00106D9D" w:rsidP="00106D9D">
      <w:pPr>
        <w:pStyle w:val="style9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>02.02 2012№16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 xml:space="preserve">с. </w:t>
      </w:r>
      <w:proofErr w:type="spellStart"/>
      <w:r w:rsidRPr="00106D9D">
        <w:rPr>
          <w:color w:val="000000"/>
        </w:rPr>
        <w:t>Марфино</w:t>
      </w:r>
      <w:proofErr w:type="spellEnd"/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>О внесении изменений и дополнений в Административный регламент администрации МО «</w:t>
      </w:r>
      <w:proofErr w:type="spellStart"/>
      <w:r w:rsidRPr="00106D9D">
        <w:rPr>
          <w:color w:val="000000"/>
        </w:rPr>
        <w:t>Марфинский</w:t>
      </w:r>
      <w:proofErr w:type="spellEnd"/>
      <w:r w:rsidRPr="00106D9D">
        <w:rPr>
          <w:color w:val="000000"/>
        </w:rPr>
        <w:t xml:space="preserve"> сельсовет» по предоставлению</w:t>
      </w:r>
      <w:bookmarkStart w:id="0" w:name="_GoBack"/>
      <w:bookmarkEnd w:id="0"/>
      <w:r w:rsidRPr="00106D9D">
        <w:rPr>
          <w:color w:val="000000"/>
        </w:rPr>
        <w:t xml:space="preserve"> муниципальной услуги «Выдача разрешений на строительство, реконструкцию, капитальный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center"/>
        <w:rPr>
          <w:color w:val="000000"/>
        </w:rPr>
      </w:pPr>
      <w:r w:rsidRPr="00106D9D">
        <w:rPr>
          <w:color w:val="000000"/>
        </w:rPr>
        <w:t>ремонт объектов капитального строительства»  от 01.02.2011 №27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На основании Градостроительного кодекса Российской Федерации, Федерального закона от 27.07.2010 №210-ФЗ «Об организации предоставления государственных и муниципальных услуг", Устава МО «</w:t>
      </w:r>
      <w:proofErr w:type="spellStart"/>
      <w:r w:rsidRPr="00106D9D">
        <w:rPr>
          <w:color w:val="000000"/>
        </w:rPr>
        <w:t>Марфинский</w:t>
      </w:r>
      <w:proofErr w:type="spellEnd"/>
      <w:r w:rsidRPr="00106D9D">
        <w:rPr>
          <w:color w:val="000000"/>
        </w:rPr>
        <w:t xml:space="preserve"> сельсовет»,  администрация муниципального образования «</w:t>
      </w:r>
      <w:proofErr w:type="spellStart"/>
      <w:r w:rsidRPr="00106D9D">
        <w:rPr>
          <w:color w:val="000000"/>
        </w:rPr>
        <w:t>Марфинский</w:t>
      </w:r>
      <w:proofErr w:type="spellEnd"/>
      <w:r w:rsidRPr="00106D9D">
        <w:rPr>
          <w:color w:val="000000"/>
        </w:rPr>
        <w:t xml:space="preserve"> сельсовет»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ПОСТАНОВЛЯЕТ: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 1. Внести в Административный регламент администрации МО «</w:t>
      </w:r>
      <w:proofErr w:type="spellStart"/>
      <w:r w:rsidRPr="00106D9D">
        <w:rPr>
          <w:color w:val="000000"/>
        </w:rPr>
        <w:t>Марфинский</w:t>
      </w:r>
      <w:proofErr w:type="spellEnd"/>
      <w:r w:rsidRPr="00106D9D">
        <w:rPr>
          <w:color w:val="000000"/>
        </w:rPr>
        <w:t xml:space="preserve"> сельсовет» по предоставлению муниципальной услуги «Выдача разрешений на строительство, реконструкцию, капитальный ремонт объектов капитального строительства»  от 01.02.2011 №27 следующие изменения и дополнения: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1.1. Из наименования Регламента и далее по всему тексту Регламента исключить словосочетание «капитальный ремонт».  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1.2.  пункт 2.4. Раздела 2 Регламента изложить в следующей редакции: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proofErr w:type="gramStart"/>
      <w:r w:rsidRPr="00106D9D">
        <w:rPr>
          <w:color w:val="000000"/>
        </w:rPr>
        <w:t>«Результатом предоставления муниципальной услуги является выдача разрешения на строительство и реконструкцию объектов капитального строительства,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(в случае строительства, реконструкции линейных объектов) и дающий заявителю право осуществлять строительство, реконструкцию объектов капитального строительства, за исключением случаев, предусмотренных Градостроительным кодексом РФ».</w:t>
      </w:r>
      <w:proofErr w:type="gramEnd"/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1.3. пункт 2.7.1. Раздела 2 Регламента изложить в следующей редакции: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«Для получения разрешения на строительство (за исключением объекта индивидуального жилищного строительства) заявитель представляет должностному лицу администрации, ответственному за прием и регистрацию документов от заявителей, пакет документов в следующем составе: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1) правоустанавливающие документы на земельный участок;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2)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3) материалы, содержащиеся в проектной документации: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а) пояснительная записка;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подъездов и проходов к нему, границ зон действия публичных сервитутов, объектов археологического наследия;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lastRenderedPageBreak/>
        <w:t>в) схема планировочной организации земельного участка, подтверждающая расположение линейного объекта в пределах красных линий, утвержденных в составе документации по планировке территории применительно к линейным объектам;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г) схемы, отображающие архитектурные решения;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д) сведения об инженерном оборудовании, сводный план сетей инженерно-технического обеспечения с обозначением мест подключения проектируемого объекта капитального строительства к сетям инженерно-технического обеспечения;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е) проект организации строительства объекта капитального строительства;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ж) проект организации работ по сносу или демонтажу объектов капитального строительства, их частей;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4) положительное заключение государственной экспертизы проектной документации (применительно к проектной документации объектов, предусмотренных статьей 49 Градостроительного кодекса РФ), положительное заключение государственной экологической экспертизы проектной документации в случаях, предусмотренных частью 6 статьи 49 Градостроительного кодекса РФ;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5) разрешение на отклонение от предельных параметров разрешенного строительства, реконструкции (в случае, если застройщику было предоставлено такое разрешение в соответствии со статьей 40 Градостроительного кодекса РФ);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6) согласие всех правообладателей объекта капитального строительства в случае реконструкции такого объекта».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1.4. Абзац 5 пункта 2.9 Раздела 2 Регламента изложить в следующей редакции: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«несоответствие представленных документов требованиям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территории, а также требованиям, установленным в разрешении на отклонение от предельных параметров разрешенного строительства, реконструкции».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1.5. Добавить пункт 3.1.1. Раздела 3 Регламента абзацем 5 следующего содержания: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«- проведение проверки в случае выдачи разрешения на строительство линейного объекта требованиям проекта планировки территории и проекта межевания территории, а также красным линиям»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1.6. Считать абзацы 5 и 6 пункта 3.1.1. Раздела 3 Регламента соответственно абзацами 6 и 7 пункта 3.1.1. Раздела 3 Регламента.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2.</w:t>
      </w:r>
      <w:r w:rsidRPr="00106D9D">
        <w:rPr>
          <w:rStyle w:val="a4"/>
          <w:color w:val="000000"/>
        </w:rPr>
        <w:t> </w:t>
      </w:r>
      <w:r w:rsidRPr="00106D9D">
        <w:rPr>
          <w:color w:val="000000"/>
        </w:rPr>
        <w:t>Настоящее постановление вступает в силу после его официального опубликования (обнародования).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 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Глава муниципального образования</w:t>
      </w:r>
    </w:p>
    <w:p w:rsidR="00106D9D" w:rsidRPr="00106D9D" w:rsidRDefault="00106D9D" w:rsidP="00106D9D">
      <w:pPr>
        <w:pStyle w:val="a3"/>
        <w:shd w:val="clear" w:color="auto" w:fill="FFFFFF"/>
        <w:spacing w:before="0" w:beforeAutospacing="0" w:after="0" w:afterAutospacing="0"/>
        <w:ind w:firstLine="180"/>
        <w:jc w:val="both"/>
        <w:rPr>
          <w:color w:val="000000"/>
        </w:rPr>
      </w:pPr>
      <w:r w:rsidRPr="00106D9D">
        <w:rPr>
          <w:color w:val="000000"/>
        </w:rPr>
        <w:t>«</w:t>
      </w:r>
      <w:proofErr w:type="spellStart"/>
      <w:r w:rsidRPr="00106D9D">
        <w:rPr>
          <w:color w:val="000000"/>
        </w:rPr>
        <w:t>Марфинский</w:t>
      </w:r>
      <w:proofErr w:type="spellEnd"/>
      <w:r w:rsidRPr="00106D9D">
        <w:rPr>
          <w:color w:val="000000"/>
        </w:rPr>
        <w:t xml:space="preserve"> сельсовет»                                                 Н.К. Савенков</w:t>
      </w:r>
    </w:p>
    <w:p w:rsidR="00106D9D" w:rsidRPr="00106D9D" w:rsidRDefault="00106D9D" w:rsidP="00106D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06D9D" w:rsidRPr="00106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D9D"/>
    <w:rsid w:val="0010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0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6D9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0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06D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06D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38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1</cp:revision>
  <dcterms:created xsi:type="dcterms:W3CDTF">2020-12-13T09:58:00Z</dcterms:created>
  <dcterms:modified xsi:type="dcterms:W3CDTF">2020-12-13T09:59:00Z</dcterms:modified>
</cp:coreProperties>
</file>